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comments.xml" ContentType="application/vnd.openxmlformats-officedocument.wordprocessingml.comment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2671" w:rsidR="00337315" w:rsidP="00991F06" w:rsidRDefault="00337315">
      <w:pPr>
        <w:rPr>
          <w:rStyle w:val="Ikon"/>
        </w:rPr>
      </w:pPr>
      <w:r xmlns:w="http://schemas.openxmlformats.org/wordprocessingml/2006/main">
        <w:drawing>
          <wp:inline xmlns:wp="http://schemas.openxmlformats.org/drawingml/2006/wordprocessingDrawing" distT="0" distB="0" distL="0" distR="0">
            <wp:extent cx="2438400" cy="48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a7a7830fa54881"/>
                    <a:stretch>
                      <a:fillRect/>
                    </a:stretch>
                  </pic:blipFill>
                  <pic:spPr>
                    <a:xfrm>
                      <a:off x="0" y="0"/>
                      <a:ext cx="2438400" cy="482600"/>
                    </a:xfrm>
                    <a:prstGeom prst="rect">
                      <a:avLst/>
                    </a:prstGeom>
                  </pic:spPr>
                </pic:pic>
              </a:graphicData>
            </a:graphic>
          </wp:inline>
        </w:drawing>
      </w:r>
      <w:bookmarkStart w:name="_GoBack" w:id="0"/>
      <w:bookmarkEnd w:id="0"/>
    </w:p>
    <w:p>
      <w:pPr/>
    </w:p>
    <w:p>
      <w:pPr>
        <w:pStyle w:val="Title"/>
      </w:pPr>
      <w:r>
        <w:rPr>
          <w:lang w:val="nb-NO"/>
        </w:rPr>
        <w:t>Høring - Endringer i forskrift om kontrollområder for å forebygge, begrense og bekjempe pærebrann</w:t>
      </w:r>
    </w:p>
    <w:p>
      <w:pPr/>
    </w:p>
    <w:p>
      <w:pPr>
        <w:pStyle w:val="Subtitle"/>
      </w:pPr>
      <w:r>
        <w:t>Uttalelse - Norges Birøkterlag</w:t>
      </w:r>
    </w:p>
    <w:tbl>
      <w:tblPr>
        <w:tblW w:w="5000" w:type="auto"/>
        <w:tblLook w:val="04A0"/>
        <w:tblLayout w:type="fixed"/>
      </w:tblPr>
      <w:tblGrid>
        <w:gridCol w:w="5200"/>
        <w:gridCol w:w="5200"/>
      </w:tblGrid>
      <w:tr>
        <w:tc>
          <w:tcPr>
            <w:tcW w:w="3400" w:type="dxa"/>
          </w:tcPr>
          <w:p>
            <w:pPr/>
            <w:r>
              <w:t>Status</w:t>
            </w:r>
          </w:p>
        </w:tc>
        <w:tc>
          <w:tcPr>
            <w:tcW w:w="10580" w:type="dxa"/>
          </w:tcPr>
          <w:p>
            <w:pPr/>
            <w:r>
              <w:t>Innsendt til Mattilsynet</w:t>
            </w:r>
            <w:r>
              <w:br/>
            </w:r>
            <w:r>
              <w:t>Innsendt og bekreftet av instansen via: ole.auten@norbi.no</w:t>
            </w:r>
          </w:p>
        </w:tc>
      </w:tr>
      <w:tr>
        <w:tc>
          <w:tcPr>
            <w:tcW w:w="3400" w:type="dxa"/>
          </w:tcPr>
          <w:p>
            <w:pPr/>
            <w:r>
              <w:t>Innsendt av</w:t>
            </w:r>
          </w:p>
        </w:tc>
        <w:tc>
          <w:tcPr>
            <w:tcW w:w="10580" w:type="dxa"/>
          </w:tcPr>
          <w:p>
            <w:pPr/>
            <w:r>
              <w:t>Ole Auten</w:t>
            </w:r>
          </w:p>
        </w:tc>
      </w:tr>
      <w:tr>
        <w:tc>
          <w:tcPr>
            <w:tcW w:w="3400" w:type="dxa"/>
          </w:tcPr>
          <w:p>
            <w:pPr/>
            <w:r>
              <w:t>Innsenders e-post:</w:t>
            </w:r>
          </w:p>
        </w:tc>
        <w:tc>
          <w:tcPr>
            <w:tcW w:w="10580" w:type="dxa"/>
          </w:tcPr>
          <w:p>
            <w:pPr/>
            <w:r>
              <w:t>ole.auten@norbi.no</w:t>
            </w:r>
          </w:p>
        </w:tc>
      </w:tr>
      <w:tr>
        <w:tc>
          <w:tcPr>
            <w:tcW w:w="3400" w:type="dxa"/>
          </w:tcPr>
          <w:p>
            <w:pPr/>
            <w:r>
              <w:t>Innsendt dato</w:t>
            </w:r>
          </w:p>
        </w:tc>
        <w:tc>
          <w:tcPr>
            <w:tcW w:w="10580" w:type="dxa"/>
          </w:tcPr>
          <w:p>
            <w:pPr/>
            <w:r>
              <w:t>23.05.2024</w:t>
            </w:r>
          </w:p>
        </w:tc>
      </w:tr>
      <w:tr>
        <w:tc>
          <w:tcPr>
            <w:tcW w:w="3400" w:type="dxa"/>
          </w:tcPr>
          <w:p>
            <w:pPr/>
            <w:r>
              <w:t>Navn på virksomhet:</w:t>
            </w:r>
          </w:p>
        </w:tc>
        <w:tc>
          <w:tcPr>
            <w:tcW w:w="10580" w:type="dxa"/>
          </w:tcPr>
          <w:p>
            <w:pPr/>
            <w:r>
              <w:t>Norges Birøkterlag</w:t>
            </w:r>
            <w:r>
              <w:br/>
            </w:r>
            <w:r>
              <w:t>Virksomhet (Privat)</w:t>
            </w:r>
          </w:p>
        </w:tc>
      </w:tr>
      <w:tr>
        <w:tc>
          <w:tcPr>
            <w:tcW w:w="3400" w:type="dxa"/>
          </w:tcPr>
          <w:p>
            <w:pPr/>
            <w:r>
              <w:t>Stilling</w:t>
            </w:r>
          </w:p>
        </w:tc>
        <w:tc>
          <w:tcPr>
            <w:tcW w:w="10580" w:type="dxa"/>
          </w:tcPr>
          <w:p>
            <w:pPr/>
            <w:r>
              <w:t>Seniorrådgiver/ organisasjonsmedarbeider</w:t>
            </w:r>
          </w:p>
        </w:tc>
      </w:tr>
    </w:tbl>
    <w:p>
      <w:pPr/>
      <w:r>
        <w:br/>
      </w:r>
      <w:r>
        <w:t>✓ Jeg bekrefter at denne uttalelsen er på vegne av hele oppgitte virksomhet.</w:t>
      </w:r>
    </w:p>
    <w:p>
      <w:r>
        <w:br w:type="page"/>
      </w:r>
    </w:p>
    <w:p>
      <w:pPr>
        <w:pStyle w:val="Title"/>
      </w:pPr>
      <w:r>
        <w:rPr>
          <w:lang w:val="nb-NO"/>
        </w:rPr>
        <w:t>Høring - Endringer i forskrift om kontrollområder for å forebygge, begrense og bekjempe pærebrann</w:t>
      </w:r>
    </w:p>
    <w:p>
      <w:pPr/>
      <w:r>
        <w:t>Avsendere: Mattilsynet, hovedkontoret, seksjon planter og innsatsvarer</w:t>
      </w:r>
    </w:p>
    <w:p>
      <w:pPr>
        <w:pStyle w:val="Heading1"/>
      </w:pPr>
      <w:r>
        <w:rPr>
          <w:lang w:val="nb-NO"/>
          <w:rStyle w:val="Nummerering"/>
        </w:rPr>
        <w:t>1.</w:t>
      </w:r>
      <w:r>
        <w:t xml:space="preserve"> </w:t>
      </w:r>
      <w:r>
        <w:t xml:space="preserve">Hovedinnhold i forskriftsutkastet </w:t>
      </w:r>
    </w:p>
    <w:p>
      <w:pPr/>
      <w:r>
        <w:rPr>
          <w:lang w:val="nb-NO"/>
        </w:rPr>
        <w:t>Mattilsynet sender forslag til endring i forskrift 8. januar 2020 nr. 51 om kontrollområder for å forebygge, begrense og bekjempe pærebrann (</w:t>
      </w:r>
      <w:r>
        <w:rPr>
          <w:lang w:val="nb-NO"/>
          <w:i/>
        </w:rPr>
        <w:t>Erwinia amylovora</w:t>
      </w:r>
      <w:r>
        <w:rPr>
          <w:lang w:val="nb-NO"/>
        </w:rPr>
        <w:t>) på høring. Forslaget innebærer endringer i hvilke kommuner som tilhører de ulike kontrollområdene som forskriften omfatter (henholdsvis pærebrannsone, bekjempelsessone og forebyggende sone), samt endringer i bestemmelsene om flytting av bier i perioden fra 1. mai til 10. oktober for disse områdene.</w:t>
      </w:r>
    </w:p>
    <w:p>
      <w:pPr>
        <w:pStyle w:val="Heading1"/>
      </w:pPr>
      <w:r>
        <w:rPr>
          <w:lang w:val="nb-NO"/>
          <w:rStyle w:val="Nummerering"/>
        </w:rPr>
        <w:t>2.</w:t>
      </w:r>
      <w:r>
        <w:t xml:space="preserve"> </w:t>
      </w:r>
      <w:r>
        <w:t>Bakgrunnen for forslaget</w:t>
      </w:r>
    </w:p>
    <w:p>
      <w:pPr/>
      <w:r>
        <w:rPr>
          <w:lang w:val="nb-NO"/>
        </w:rPr>
        <w:t xml:space="preserve">Pærebrann er en alvorlig plantesykdom i eple- og pæredyrking, forårsaket av bakterien   </w:t>
      </w:r>
      <w:r>
        <w:rPr>
          <w:lang w:val="nb-NO"/>
          <w:i/>
        </w:rPr>
        <w:t>Erwinia amylovora. </w:t>
      </w:r>
      <w:r>
        <w:rPr>
          <w:lang w:val="nb-NO"/>
        </w:rPr>
        <w:t>En rekke andre planteslag i rosefamilien er også vertplanter.  Skadegjøreren er regulert i forskrift om planter og tiltak mot planteskadegjørere  (plantehelseforskriften). Sykdommen ble første gang funnet i Norge i 1986 og er nå etablert i  ytre kyststrøk fra Agder til Møre.  </w:t>
      </w:r>
    </w:p>
    <w:p>
      <w:pPr/>
      <w:r>
        <w:rPr>
          <w:lang w:val="nb-NO"/>
        </w:rPr>
        <w:t>Mattilsynet fastsatte den 8. januar 2020 en ny forskrift om tiltak mot pærebrann (forskrift om  kontrollområder for å forebygge, begrense og bekjempe pærebrann (</w:t>
      </w:r>
      <w:r>
        <w:rPr>
          <w:lang w:val="nb-NO"/>
          <w:i/>
        </w:rPr>
        <w:t>Erwinia amylovora</w:t>
      </w:r>
      <w:r>
        <w:rPr>
          <w:lang w:val="nb-NO"/>
        </w:rPr>
        <w:t>),   heretter betegnet som «pærebrannforskriften». Formålet med denne forskriften er å  forebygge, begrense og bekjempe spredning av plantesykdommen. De kommunene som er  berørt av tiltak mot pærebrann har vært plassert i sonene pærebrannsone,  bekjempelsessone og forebyggende sone, der de deler av landet der pærebrann forekommer inngår i en av de to første, mens spesielt risikoutsatte områder inngår i forebyggende sone. Bekjempelsen av pærebrann har i hovedsak vært gjennomført i områder i bekjempelsessonen, mens det i forebyggende sone drives forebyggende rydding av de mest mottakelige vertplantene for pærebrann, særlig bulkemispel. I pærebrannsonene anses  sykdommen som etablert og ikke mulig å utrydde. Soneinndelingen i forskriften har vært  endret flere ganger som følge av funn av pærebrann i nye områder og ble sist endret 1. september 2022.  </w:t>
      </w:r>
    </w:p>
    <w:p>
      <w:pPr/>
      <w:r>
        <w:rPr>
          <w:lang w:val="nb-NO"/>
        </w:rPr>
        <w:t>Gjennom Aksjon pærebrann gjennomfører Mattilsynet i samarbeid med NIBIO årlig kartlegging og bekjempelse av pærebrann. I 2023 ble sykdommen påvist i følgende 15 nye kommuner: Hareid, Sykkylven, Vanylven, Fedje, Høyanger, Stad, Kvitsøy, Sauda, Utsira, Arendal,  Flekkefjord, Grimstad, Risør, Tvedestrand og Vennesla. Også i de foregående årene er det  funnet smitte i flere nye områder, og det kjente utbredelsesområdet for sykdommen har  dermed økt betydelig. Avdekking av funn i stadig nye områder de siste årene indikerer samtidig at vi ikke har full oversikt over utbredelsen av pærebrann.   </w:t>
      </w:r>
    </w:p>
    <w:p>
      <w:pPr/>
      <w:r>
        <w:rPr>
          <w:lang w:val="nb-NO"/>
        </w:rPr>
        <w:t>På bakgrunn av at ressursene Mattilsynet disponerer til kartleggings- og  bekjempelsesarbeidet for pærebrann er svært begrenset i forhold til størrelsen på utbredelsesområdet,  planlegger Mattilsynet det kommende året å prioritere kartleggingsarbeidet, samt enkelte tiltak for å forebygge innsmitte til de viktigste fruktområdene som ligger nær den kjente smittefronten. Mattilsynet ønsker å endre forskriften i samsvar med den nye kunnskapen om utbredelsen av sykdommen. Det vil imidlertid ikke være slik at Mattilsynets ressurser er  tilstrekkelig til å dekke all nødvendig rydding av vertplanter i de forebyggende sonene den kommende sesongen. </w:t>
      </w:r>
    </w:p>
    <w:p>
      <w:pPr>
        <w:pStyle w:val="Heading1"/>
      </w:pPr>
      <w:r>
        <w:rPr>
          <w:lang w:val="nb-NO"/>
          <w:rStyle w:val="Nummerering"/>
        </w:rPr>
        <w:t>3.</w:t>
      </w:r>
      <w:r>
        <w:t xml:space="preserve"> </w:t>
      </w:r>
      <w:r>
        <w:t>Innholdet i forskriftsutkastet</w:t>
      </w:r>
    </w:p>
    <w:p>
      <w:pPr/>
      <w:r>
        <w:rPr>
          <w:lang w:val="nb-NO"/>
          <w:b/>
        </w:rPr>
        <w:t>Vi foreslår følgende endringer i </w:t>
      </w:r>
      <w:r>
        <w:rPr>
          <w:lang w:val="nb-NO"/>
          <w:b/>
        </w:rPr>
        <w:t>§ 3 Opprettelse av kontrollområder:</w:t>
      </w:r>
    </w:p>
    <w:p>
      <w:pPr/>
      <w:r>
        <w:rPr>
          <w:lang w:val="nb-NO"/>
        </w:rPr>
        <w:t>1. Endringer i pærebrannsonen og bekjempelsessonen  </w:t>
      </w:r>
      <w:r>
        <w:rPr>
          <w:lang w:val="nb-NO"/>
        </w:rPr>
        <w:br/>
      </w:r>
      <w:r>
        <w:rPr>
          <w:lang w:val="nb-NO"/>
        </w:rPr>
        <w:br/>
      </w:r>
      <w:r>
        <w:rPr>
          <w:lang w:val="nb-NO"/>
        </w:rPr>
        <w:t>1.1 De kommunene eller delene av kommunene som i dag er oppført under  bekjempelsessonen,  flyttes til pærebrannsonen. </w:t>
      </w:r>
      <w:r>
        <w:rPr>
          <w:lang w:val="nb-NO"/>
        </w:rPr>
        <w:br/>
      </w:r>
      <w:r>
        <w:rPr>
          <w:lang w:val="nb-NO"/>
        </w:rPr>
        <w:t> Bekjempelsen av pærebrann i disse områdene har så langt ikke lykkes, og vurderes ikke  som realistisk å oppnå, bl.a. pga. forekomst av bulkemispel som fungerer som et viktig  smittereservoar for pærebrann. </w:t>
      </w:r>
    </w:p>
    <w:p>
      <w:pPr/>
      <w:r>
        <w:rPr>
          <w:lang w:val="nb-NO"/>
        </w:rPr>
        <w:t>Dette gjelder følgende kommuner/deler av kommuner:   </w:t>
      </w:r>
      <w:r>
        <w:rPr>
          <w:lang w:val="nb-NO"/>
        </w:rPr>
        <w:br/>
      </w:r>
      <w:r>
        <w:rPr>
          <w:lang w:val="nb-NO"/>
        </w:rPr>
        <w:t>I Møre og Romsdal: Giske, Herøy, Molde (øyene Otrøy, Midøy, Dryna, Magerøy og Tautra), Sande, Sula, Ulstein, Volda, Ørsta, Ålesund (unntatt øyene Hessa, Aspøy, Nørvøy, Ellingsøy og Oksenøy) </w:t>
      </w:r>
      <w:r>
        <w:rPr>
          <w:lang w:val="nb-NO"/>
        </w:rPr>
        <w:br/>
      </w:r>
      <w:r>
        <w:rPr>
          <w:lang w:val="nb-NO"/>
        </w:rPr>
        <w:t>I Vestland: Askvoll, Bjørnafjorden (området øst for fjorden), Bremanger, Etne, Fjaler, Gulen,  Hyllestad, Kinn, Kvam, Kvinnherad, Masfjorden, Osterøy, Solund, Tysnes, Vaksdal </w:t>
      </w:r>
      <w:r>
        <w:rPr>
          <w:lang w:val="nb-NO"/>
        </w:rPr>
        <w:br/>
      </w:r>
      <w:r>
        <w:rPr>
          <w:lang w:val="nb-NO"/>
        </w:rPr>
        <w:t> I Rogaland: Hjelmeland, Stavanger (øyene Finnøy, Sør-Talgje, Fogn, øygruppa Fisterøyene,  Halsnøya, Ombo og øygruppa Sjernarøyene), Strand (øyene Idse og Idsal, og området nord   for Fiskå), Suldal. </w:t>
      </w:r>
      <w:r>
        <w:rPr>
          <w:lang w:val="nb-NO"/>
        </w:rPr>
        <w:br/>
      </w:r>
      <w:r>
        <w:rPr>
          <w:lang w:val="nb-NO"/>
        </w:rPr>
        <w:t> I Agder: Lillesand . </w:t>
      </w:r>
    </w:p>
    <w:p>
      <w:pPr/>
      <w:r>
        <w:rPr>
          <w:lang w:val="nb-NO"/>
        </w:rPr>
        <w:t>1.2 De kommunene der pærebrann er påvist første gang i 2023, settes inn i  pærebrannsonen. </w:t>
      </w:r>
      <w:r>
        <w:rPr>
          <w:lang w:val="nb-NO"/>
        </w:rPr>
        <w:br/>
      </w:r>
      <w:r>
        <w:rPr>
          <w:lang w:val="nb-NO"/>
        </w:rPr>
        <w:t>Dette er kommuner med liten eller ingen eple- og pæreproduksjon, og på bakgrunn av de samlede ressursene som Mattilsynet har tilgjengelig for kontroll av pærebrann, vurderer vi det ikke som hensiktsmessig å prioritere å starte bekjempelse av sykdommen i disse områdene.  </w:t>
      </w:r>
      <w:r>
        <w:rPr>
          <w:lang w:val="nb-NO"/>
        </w:rPr>
        <w:br/>
      </w:r>
      <w:r>
        <w:rPr>
          <w:lang w:val="nb-NO"/>
        </w:rPr>
        <w:br/>
      </w:r>
      <w:r>
        <w:rPr>
          <w:lang w:val="nb-NO"/>
        </w:rPr>
        <w:t>Dette gjelder følgende kommuner:   </w:t>
      </w:r>
      <w:r>
        <w:rPr>
          <w:lang w:val="nb-NO"/>
        </w:rPr>
        <w:br/>
      </w:r>
      <w:r>
        <w:rPr>
          <w:lang w:val="nb-NO"/>
        </w:rPr>
        <w:t>I Møre og Romsdal: Hareid, Sykkylven, Vanylven  </w:t>
      </w:r>
      <w:r>
        <w:rPr>
          <w:lang w:val="nb-NO"/>
        </w:rPr>
        <w:br/>
      </w:r>
      <w:r>
        <w:rPr>
          <w:lang w:val="nb-NO"/>
        </w:rPr>
        <w:t>I Vestland: Fedje, Høyanger, Stad  </w:t>
      </w:r>
      <w:r>
        <w:rPr>
          <w:lang w:val="nb-NO"/>
        </w:rPr>
        <w:br/>
      </w:r>
      <w:r>
        <w:rPr>
          <w:lang w:val="nb-NO"/>
        </w:rPr>
        <w:t>I Rogaland: Kvitsøy, Sauda, Utsira  </w:t>
      </w:r>
      <w:r>
        <w:rPr>
          <w:lang w:val="nb-NO"/>
        </w:rPr>
        <w:br/>
      </w:r>
      <w:r>
        <w:rPr>
          <w:lang w:val="nb-NO"/>
        </w:rPr>
        <w:t>I Agder: Arendal, Flekkefjord, Grimstad, Risør, Tvedestrand, Vennesla.</w:t>
      </w:r>
    </w:p>
    <w:p>
      <w:pPr/>
      <w:r>
        <w:rPr>
          <w:lang w:val="nb-NO"/>
        </w:rPr>
        <w:t>1.3 Fem kommuner der pærebrann så langt ikke er påvist, men som ligger omgitt av  kommuner med kjent pærebrannsmitte, tas inn i pærebrannsonen. </w:t>
      </w:r>
      <w:r>
        <w:rPr>
          <w:lang w:val="nb-NO"/>
        </w:rPr>
        <w:br/>
      </w:r>
      <w:r>
        <w:rPr>
          <w:lang w:val="nb-NO"/>
        </w:rPr>
        <w:t>Årsaken er at det er stort  smittepress fra omkringliggende pærebrannsone, i tillegg til at det er en betydelig risiko for at det kan være hittil uavdekket smitte i disse områdene. Kommunene har liten eller ingen eple- og pæreproduksjon.</w:t>
      </w:r>
      <w:r>
        <w:rPr>
          <w:lang w:val="nb-NO"/>
        </w:rPr>
        <w:br/>
      </w:r>
      <w:r>
        <w:rPr>
          <w:lang w:val="nb-NO"/>
        </w:rPr>
        <w:br/>
      </w:r>
      <w:r>
        <w:rPr>
          <w:lang w:val="nb-NO"/>
        </w:rPr>
        <w:t>Dette gjelder følgende kommuner:  </w:t>
      </w:r>
      <w:r>
        <w:rPr>
          <w:lang w:val="nb-NO"/>
        </w:rPr>
        <w:br/>
      </w:r>
      <w:r>
        <w:rPr>
          <w:lang w:val="nb-NO"/>
        </w:rPr>
        <w:t>I Vestland: Modalen, Samnanger, Sunnfjord  </w:t>
      </w:r>
      <w:r>
        <w:rPr>
          <w:lang w:val="nb-NO"/>
        </w:rPr>
        <w:br/>
      </w:r>
      <w:r>
        <w:rPr>
          <w:lang w:val="nb-NO"/>
        </w:rPr>
        <w:t>I Agder: Kvinesdal, Lyngdal. </w:t>
      </w:r>
    </w:p>
    <w:p>
      <w:pPr/>
      <w:r>
        <w:br/>
      </w:r>
    </w:p>
    <w:p>
      <w:pPr/>
      <w:r>
        <w:rPr>
          <w:lang w:val="nb-NO"/>
        </w:rPr>
        <w:t>2. Endringer i forebyggende sone  </w:t>
      </w:r>
      <w:r>
        <w:rPr>
          <w:lang w:val="nb-NO"/>
        </w:rPr>
        <w:br/>
      </w:r>
      <w:r>
        <w:rPr>
          <w:lang w:val="nb-NO"/>
        </w:rPr>
        <w:br/>
      </w:r>
      <w:r>
        <w:rPr>
          <w:lang w:val="nb-NO"/>
        </w:rPr>
        <w:t xml:space="preserve">2.1 Det opprettes en ny forebyggende sone som omfatter en del viktige fruktområder på  Østlandet, med tilliggende områder, og som ligger nær den antatte smittefronten for  pærebrann i Agder/Telemark. </w:t>
      </w:r>
      <w:r>
        <w:rPr>
          <w:lang w:val="nb-NO"/>
        </w:rPr>
        <w:br/>
      </w:r>
      <w:r>
        <w:rPr>
          <w:lang w:val="nb-NO"/>
        </w:rPr>
        <w:t>Mattilsynet ønsker å prioritere ressurser til kartlegging og  forbyggende tiltak for å hindre innsmitte til dette området, som omfatter et geografisk  sammenhengende område med en stor samlet produksjon av eple og pære.  </w:t>
      </w:r>
      <w:r>
        <w:rPr>
          <w:lang w:val="nb-NO"/>
        </w:rPr>
        <w:br/>
      </w:r>
      <w:r>
        <w:rPr>
          <w:lang w:val="nb-NO"/>
        </w:rPr>
        <w:br/>
      </w:r>
      <w:r>
        <w:rPr>
          <w:lang w:val="nb-NO"/>
        </w:rPr>
        <w:t>Sonen omfatter følgende kommuner:   </w:t>
      </w:r>
      <w:r>
        <w:rPr>
          <w:lang w:val="nb-NO"/>
        </w:rPr>
        <w:br/>
      </w:r>
      <w:r>
        <w:rPr>
          <w:lang w:val="nb-NO"/>
        </w:rPr>
        <w:t>I Telemark: Midt-Telemark, Nome, Notodden, Kragerø, Bamble, Porsgrunn, Skien  </w:t>
      </w:r>
      <w:r>
        <w:rPr>
          <w:lang w:val="nb-NO"/>
        </w:rPr>
        <w:br/>
      </w:r>
      <w:r>
        <w:rPr>
          <w:lang w:val="nb-NO"/>
        </w:rPr>
        <w:t>I Buskerud: Drammen, Lier, Øvre Eiker  </w:t>
      </w:r>
      <w:r>
        <w:rPr>
          <w:lang w:val="nb-NO"/>
        </w:rPr>
        <w:br/>
      </w:r>
      <w:r>
        <w:rPr>
          <w:lang w:val="nb-NO"/>
        </w:rPr>
        <w:t>I Vestfold: Holmestrand.</w:t>
      </w:r>
    </w:p>
    <w:p>
      <w:pPr/>
      <w:r>
        <w:rPr>
          <w:lang w:val="nb-NO"/>
        </w:rPr>
        <w:t>2.2. Fire kommuner uten pærebrannsmitte tas ut av forebyggende sone på Møre/Vestlandet.   </w:t>
      </w:r>
      <w:r>
        <w:rPr>
          <w:lang w:val="nb-NO"/>
        </w:rPr>
        <w:br/>
      </w:r>
      <w:r>
        <w:rPr>
          <w:lang w:val="nb-NO"/>
        </w:rPr>
        <w:t>Dette for å frigjøre ressurser til mer forebyggende innsats i andre pærebrannfrie områder  med større eple- og pæreproduksjon.   </w:t>
      </w:r>
      <w:r>
        <w:rPr>
          <w:lang w:val="nb-NO"/>
        </w:rPr>
        <w:br/>
      </w:r>
      <w:r>
        <w:rPr>
          <w:lang w:val="nb-NO"/>
        </w:rPr>
        <w:br/>
      </w:r>
      <w:r>
        <w:rPr>
          <w:lang w:val="nb-NO"/>
        </w:rPr>
        <w:t>Dette gjelder følgende kommuner:   </w:t>
      </w:r>
      <w:r>
        <w:rPr>
          <w:lang w:val="nb-NO"/>
        </w:rPr>
        <w:br/>
      </w:r>
      <w:r>
        <w:rPr>
          <w:lang w:val="nb-NO"/>
        </w:rPr>
        <w:t>I Møre og Romsdal: Fjord  </w:t>
      </w:r>
      <w:r>
        <w:rPr>
          <w:lang w:val="nb-NO"/>
        </w:rPr>
        <w:br/>
      </w:r>
      <w:r>
        <w:rPr>
          <w:lang w:val="nb-NO"/>
        </w:rPr>
        <w:t>I Vestland: Eidfjord, Luster, Vik  </w:t>
      </w:r>
    </w:p>
    <w:p>
      <w:pPr/>
      <w:r>
        <w:br/>
      </w:r>
      <w:r>
        <w:rPr>
          <w:lang w:val="nb-NO"/>
        </w:rPr>
        <w:t>I tillegg, og som nevnt i punktene 1.2 og 1.3 ovenfor, flyttes Grimstad kommune (der  pærebrannsmitte ble påvist i 2023) og Samnanger kommune (der det er stor sannsynlighet   for smitte) fra forebyggende sone til pærebrannsonen.</w:t>
      </w:r>
    </w:p>
    <w:p>
      <w:pPr/>
      <w:r>
        <w:rPr>
          <w:lang w:val="nb-NO"/>
          <w:b/>
        </w:rPr>
        <w:t>Vi foreslår følgende</w:t>
      </w:r>
      <w:r>
        <w:rPr>
          <w:lang w:val="nb-NO"/>
          <w:b/>
        </w:rPr>
        <w:t> endringer i § 6 Flytting av bikuber </w:t>
      </w:r>
    </w:p>
    <w:p>
      <w:pPr/>
      <w:r>
        <w:rPr>
          <w:lang w:val="nb-NO"/>
        </w:rPr>
        <w:t>1. Ordlyden «bikuber, parebifolk og bidronninger» i første ledd erstattes med «bifolk,  parebifolk, skaksvermer og bidronninger», og ordlyden «bikuber og parebifolk» i andre ledd  erstattes med «bifolk, parebifolk, skaksvermer og bidronninger med følgebier «. I andre ledd  fjernes siste del av første setning: «og for bidronninger når de har stått innesperret i 48 timer og følgebiene deretter avlives før dronningen innføres i kuben». Videre fjernes setningen » forbudet gjelder ikke for nye bikuber uten bier».  </w:t>
      </w:r>
      <w:r>
        <w:rPr>
          <w:lang w:val="nb-NO"/>
        </w:rPr>
        <w:br/>
      </w:r>
      <w:r>
        <w:rPr>
          <w:lang w:val="nb-NO"/>
        </w:rPr>
        <w:br/>
      </w:r>
      <w:r>
        <w:rPr>
          <w:lang w:val="nb-NO"/>
        </w:rPr>
        <w:t>Dette fordi det er selve bifolket med flygende arbeidere som representerer faren for  pærebrannspredning og ikke kubemateriellet, og for at begrepene som brukes knyttes  sterkere til de utrykk som brukes i birøktnæringen. I tillegg bør også skaksvermer reguleres,  da disse kan spre smitte. I dagens forskrift reguleres også følgebiene ved omsetning av  bidronninger, men om de har vært innesperret i 48 timer representerer ikke disse noen smittefare for pærebrann, og det er derfor ikke behov for at disse avlives. </w:t>
      </w:r>
    </w:p>
    <w:p>
      <w:pPr/>
      <w:r>
        <w:br/>
      </w:r>
    </w:p>
    <w:p>
      <w:pPr/>
      <w:r>
        <w:rPr>
          <w:lang w:val="nb-NO"/>
        </w:rPr>
        <w:t>2. Forbudet mot all flytting av bikuber i Kvam kommune i perioden 1. mai til 10. oktober  oppheves.   </w:t>
      </w:r>
      <w:r>
        <w:rPr>
          <w:lang w:val="nb-NO"/>
        </w:rPr>
        <w:br/>
      </w:r>
      <w:r>
        <w:rPr>
          <w:lang w:val="nb-NO"/>
        </w:rPr>
        <w:br/>
      </w:r>
      <w:r>
        <w:rPr>
          <w:lang w:val="nb-NO"/>
        </w:rPr>
        <w:t>Dette fordi Kvam kommune, som tidligere omtalt, foreslås satt inn i pærebrannsonen, og det derfor ikke er behov for å regulere flytting annerledes i denne kommunen enn det som  gjelder generelt for områder i pærebrannsonen.  </w:t>
      </w:r>
    </w:p>
    <w:p>
      <w:pPr/>
      <w:r>
        <w:br/>
      </w:r>
    </w:p>
    <w:p>
      <w:pPr/>
      <w:r>
        <w:rPr>
          <w:lang w:val="nb-NO"/>
        </w:rPr>
        <w:t>3. Det settes inn et nytt andre ledd med forbud mot å flytte bifolk, parebifolk, skaksvermer og bidronninger inn i forebyggende sone i perioden 1. mai til 10. oktober. </w:t>
      </w:r>
      <w:r>
        <w:rPr>
          <w:lang w:val="nb-NO"/>
        </w:rPr>
        <w:br/>
      </w:r>
      <w:r>
        <w:rPr>
          <w:lang w:val="nb-NO"/>
        </w:rPr>
        <w:br/>
      </w:r>
      <w:r>
        <w:rPr>
          <w:lang w:val="nb-NO"/>
        </w:rPr>
        <w:t>For å bidra til et bedre vern av de forebyggende sonene, foreslår vi at regelverket tar høyde for  usikkerheten rundt sykdommens utbredelse, og slik at all flytting av bier inn i disse sonene, som har stor fruktproduksjon, skal håndteres som om biene kommer fra  områder med mulig smitte av pærebrann. For flytting av bier til pollinering i fruktdistriktene  hvor flyttingen ikke kan gjøres før 1. mai, kan næringen løse dette ved innesperring i 48 timer  og kjølelagring av bifolkene, alternativt kan Mattilsynet gi tillatelse når det ikke representerer fare for spredning av pærebrann.</w:t>
      </w:r>
    </w:p>
    <w:p>
      <w:pPr/>
      <w:r>
        <w:br/>
      </w:r>
    </w:p>
    <w:p>
      <w:pPr/>
      <w:r>
        <w:rPr>
          <w:lang w:val="nb-NO"/>
        </w:rPr>
        <w:t>4. I siste ledd erstattes «spredning» med «spredning av pærebrann» for å klargjøre  bestemmelsen. </w:t>
      </w:r>
    </w:p>
    <w:p>
      <w:pPr/>
      <w:r>
        <w:br/>
      </w:r>
    </w:p>
    <w:p>
      <w:pPr>
        <w:pStyle w:val="SprsmlTittel"/>
      </w:pPr>
      <w:r>
        <w:rPr>
          <w:rStyle w:val="Ikon"/>
        </w:rPr>
        <w:r xmlns:w="http://schemas.openxmlformats.org/wordprocessingml/2006/main">
          <w:drawing>
            <wp:inline xmlns:wp="http://schemas.openxmlformats.org/drawingml/2006/wordprocessingDrawing" distT="0" distB="0" distL="0" distR="0">
              <wp:extent cx="127000" cy="127000"/>
              <wp:effectExtent l="0" t="0" r="0" b="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57b2df064a4366"/>
                      <a:stretch>
                        <a:fillRect/>
                      </a:stretch>
                    </pic:blipFill>
                    <pic:spPr>
                      <a:xfrm>
                        <a:off x="0" y="0"/>
                        <a:ext cx="127000" cy="127000"/>
                      </a:xfrm>
                      <a:prstGeom prst="rect">
                        <a:avLst/>
                      </a:prstGeom>
                    </pic:spPr>
                  </pic:pic>
                </a:graphicData>
              </a:graphic>
            </wp:inline>
          </w:drawing>
        </w:r>
      </w:r>
      <w:r>
        <w:tab/>
      </w:r>
      <w:r>
        <w:t>Har du kommentarer til de foreslåtte endringene i § 3 Opprettelse av kontrollområder</w:t>
      </w:r>
    </w:p>
    <w:p>
      <w:pPr>
        <w:pStyle w:val="SvarmulighetKommentar"/>
      </w:pPr>
      <w:r>
        <w:rPr>
          <w:lang w:val="nb-NO"/>
          <w:b/>
        </w:rPr>
        <w:t>Vedr endringer i §3:</w:t>
      </w:r>
    </w:p>
    <w:p>
      <w:pPr>
        <w:pStyle w:val="SvarmulighetKommentar"/>
      </w:pPr>
      <w:r>
        <w:rPr>
          <w:lang w:val="nb-NO"/>
        </w:rPr>
        <w:t>Punkt 1 – Endringer i pærebrannsonen og bekjempelsessonen:</w:t>
      </w:r>
    </w:p>
    <w:p>
      <w:pPr>
        <w:pStyle w:val="SvarmulighetKommentar"/>
      </w:pPr>
      <w:r>
        <w:rPr>
          <w:lang w:val="nb-NO"/>
        </w:rPr>
        <w:t>Sykdommen har hatt en rask og omfattende spredning, til tross for strenge restriksjoner for birøkten. Det er derfor ikke grunnlag for å hevde at fortsatte restriksjoner for birøkten vil hindre videre spredning av pærebrann, særlig ikke når bekjempelsen anses som avsluttet fra Mattilsynets side. Signalene fra Mattilsynet (Knut Espevig på møte i Agder 13.april) er at man er usikker på sykdommens utbredelse, og at det mangler ressurser til å kartlegge utbredelsen.  Å fortsette med, og utvide området for strenge restriksjoner for birøkt, vil inngripe sterkt i birøkternæringen. Det oppleves som urimelig for birøkternæringen at Mattilsynets manglende kapasitet til å dokumentere spredningsbildet og i hvilken grad bier bidrar til spredning av plantesykdommen skal medføre de strengeste tiltak for vår næring.</w:t>
      </w:r>
    </w:p>
    <w:p>
      <w:pPr>
        <w:pStyle w:val="SvarmulighetKommentar"/>
      </w:pPr>
      <w:r>
        <w:rPr>
          <w:lang w:val="nb-NO"/>
        </w:rPr>
        <w:t>I høringsutkastet kommer det fram at Mattilsynet vil prioritere kartleggingsarbeidet i de viktigste fruktområdene, samtidig som det er tydelig at å bekjempe sykdommen er en tapt kamp. I møte med Mattilsynet 7.mai (Line Runden og Hilde Kristin Paulsen) kom det fram at en endring i Pærebrannforskriften anses som en hurtigløsning for å skaffe seg ett års «kontroll» på sykdommen, og at den ikke vil være førende for den pågående revidering av Plantehelseforskriften. For birøkternæringen vil ett år med foreslått forskrift være så vidt inngripende at en del av de større næringsbirøkterne ikke har mulighet til å tilpasse seg regelverket og varsler at de må avslutte driften. </w:t>
      </w:r>
    </w:p>
    <w:p>
      <w:pPr>
        <w:pStyle w:val="SvarmulighetKommentar"/>
      </w:pPr>
      <w:r>
        <w:rPr>
          <w:lang w:val="nb-NO"/>
        </w:rPr>
        <w:t>Punkt 2 – Opprettelse av ny forebyggende sone:</w:t>
      </w:r>
    </w:p>
    <w:p>
      <w:pPr>
        <w:pStyle w:val="SvarmulighetKommentar"/>
      </w:pPr>
      <w:r>
        <w:rPr>
          <w:lang w:val="nb-NO"/>
        </w:rPr>
        <w:t>Utvidelsen av forebyggende sone vil ramme nye områder, og gi betydelige virkninger for stadig flere birøktere. I kommunene som omfattes av ny forebyggende sone har Norges Birøkterlag i overkant av 330 medlemmer, derav finner vi flere av våre større næringsbirøktere.</w:t>
      </w:r>
    </w:p>
    <w:p>
      <w:pPr>
        <w:pStyle w:val="SvarmulighetKommentar"/>
      </w:pPr>
      <w:r>
        <w:rPr>
          <w:lang w:val="nb-NO"/>
        </w:rPr>
        <w:t>Norges Birøkterlag opplever at ny forebyggende sone foreslås som et ledd i å skaffe Mattilsynet tid til å skaffe nødvendige ressurser for å kartlegge og sette inn forebyggende tiltak. Det er tydelig at Mattilsynet ikke har faktagrunnlaget som trenges for å gjøre målrettede gode tiltak i dag. Sonen omtales til å ligge nær antatt smittefront, uten at det foreligger dokumentasjon på at det ikke er smitte i eller utenfor sonen. De nye kommunene som rammes av ny forskrift er tradisjonelt store birøkterdistrikt.</w:t>
      </w:r>
    </w:p>
    <w:p>
      <w:pPr>
        <w:pStyle w:val="SvarmulighetKommentar"/>
      </w:pPr>
      <w:r>
        <w:rPr>
          <w:lang w:val="nb-NO"/>
        </w:rPr>
        <w:t>Vandring med bifolk gjøres for å utnytte gode trekkplanter.  For mange birøktere, og da især birøktere sør og kystnært, er lyngtrekket det viktigste trekket, lynghonning utgjør brorparten av volumet innlevert til Honningcentralen. Et godt trekk på seinsommeren er dessuten avgjørende for å skaffe biene næring til å fôre opp de såkalte vinterbiene, altså de som skal overvintre i kuben og sikre oppstarten påfølgende vår. Et spesielt viktig lyngområde finner man i midt-Telemark, utenfor Forebyggende sone. Birøkterne i kommunene som er foreslått inn i forebyggende sone fratas de viktige trekkområdene utenfor sonen ved de foreslåtte begrensningene som er nevnt i §6.</w:t>
      </w:r>
    </w:p>
    <w:p>
      <w:pPr>
        <w:pStyle w:val="SvarmulighetKommentar"/>
      </w:pPr>
      <w:r>
        <w:rPr>
          <w:lang w:val="nb-NO"/>
        </w:rPr>
        <w:t>Dersom man ikke kan vandre på lyngtrekk er signalene fra de store næringsbirøktere at de må gi seg som birøktere. Når vi vet at de samme birøktene er viktige leverandører av bifolk til pollineringsoppdrag er dette dramatisk for større deler av norsk landbruk og matproduksjon. Verdien honningbiene tilfører frukt-, bær og grønnsaksproduksjonen i pollineringsøyemed er beregnet til å være større enn verdien av honning. Studier sier i snitt 30% avlingsøkning ved bruk av honningbier. Estimater sier at vi trenger ca 20 000 flere bifolk til pollineringsoppdrag i Norge, frukt- og bærdyrkerne har ikke noen å miste.</w:t>
      </w:r>
    </w:p>
    <w:p>
      <w:pPr>
        <w:pStyle w:val="SvarmulighetKommentar"/>
      </w:pPr>
      <w:r>
        <w:rPr>
          <w:lang w:val="nb-NO"/>
          <w:b/>
        </w:rPr>
        <w:t>Konklusjon:</w:t>
      </w:r>
    </w:p>
    <w:p>
      <w:pPr>
        <w:pStyle w:val="SvarmulighetKommentar"/>
      </w:pPr>
      <w:r>
        <w:rPr>
          <w:lang w:val="nb-NO"/>
        </w:rPr>
        <w:t>Norges Birøkterlag mener at det oppleves som urimelig for birøktere å pålegges strenge restriksjoner i stadig nye områder, og mener spesielt at opprettelse av ny forebyggende sone er unødvendig inngripende og urimelig for birøkten. Norges Birøkterlag mener at konsekvensen av den foreslåtte forskriften må utredes grundig med kost-nytte for de berørte næringene før den iverksettes.</w:t>
      </w:r>
    </w:p>
    <w:p>
      <w:pPr>
        <w:pStyle w:val="SvarmulighetKommentar"/>
      </w:pPr>
      <w:r>
        <w:rPr>
          <w:lang w:val="nb-NO"/>
        </w:rPr>
        <w:t>Vi mener at forskriftsendringen må legges på is inntil Mattilsynet har nytt regelverk for Plantehelse på plass for å sees i sammenheng med den.</w:t>
      </w:r>
    </w:p>
    <w:p>
      <w:pPr>
        <w:pStyle w:val="SprsmlTittel"/>
      </w:pPr>
      <w:r>
        <w:rPr>
          <w:rStyle w:val="Ikon"/>
        </w:rPr>
        <w:r xmlns:w="http://schemas.openxmlformats.org/wordprocessingml/2006/main">
          <w:drawing>
            <wp:inline xmlns:wp="http://schemas.openxmlformats.org/drawingml/2006/wordprocessingDrawing" distT="0" distB="0" distL="0" distR="0">
              <wp:extent cx="127000" cy="127000"/>
              <wp:effectExtent l="0" t="0" r="0" b="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57b2df064a4366"/>
                      <a:stretch>
                        <a:fillRect/>
                      </a:stretch>
                    </pic:blipFill>
                    <pic:spPr>
                      <a:xfrm>
                        <a:off x="0" y="0"/>
                        <a:ext cx="127000" cy="127000"/>
                      </a:xfrm>
                      <a:prstGeom prst="rect">
                        <a:avLst/>
                      </a:prstGeom>
                    </pic:spPr>
                  </pic:pic>
                </a:graphicData>
              </a:graphic>
            </wp:inline>
          </w:drawing>
        </w:r>
      </w:r>
      <w:r>
        <w:tab/>
      </w:r>
      <w:r>
        <w:t>Har du kommentarer til de foreslåtte endringen i § 6 Flytting av bikuber</w:t>
      </w:r>
    </w:p>
    <w:p>
      <w:pPr>
        <w:pStyle w:val="SvarmulighetKommentar"/>
      </w:pPr>
      <w:r>
        <w:rPr>
          <w:lang w:val="nb-NO"/>
          <w:b/>
        </w:rPr>
        <w:t>Vedr endringer i §6:</w:t>
      </w:r>
    </w:p>
    <w:p>
      <w:pPr>
        <w:pStyle w:val="SvarmulighetKommentar"/>
      </w:pPr>
      <w:r>
        <w:rPr>
          <w:lang w:val="nb-NO"/>
        </w:rPr>
        <w:t>Punkt 1: Ingen kommentar</w:t>
      </w:r>
    </w:p>
    <w:p>
      <w:pPr>
        <w:pStyle w:val="SvarmulighetKommentar"/>
      </w:pPr>
      <w:r>
        <w:rPr>
          <w:lang w:val="nb-NO"/>
        </w:rPr>
        <w:t>Punkt 2: Ingen kommentar</w:t>
      </w:r>
    </w:p>
    <w:p>
      <w:pPr>
        <w:pStyle w:val="SvarmulighetKommentar"/>
      </w:pPr>
      <w:r>
        <w:rPr>
          <w:lang w:val="nb-NO"/>
        </w:rPr>
        <w:t>Punkt 3:</w:t>
      </w:r>
    </w:p>
    <w:p>
      <w:pPr>
        <w:pStyle w:val="SvarmulighetKommentar"/>
      </w:pPr>
      <w:r>
        <w:rPr>
          <w:lang w:val="nb-NO"/>
        </w:rPr>
        <w:t>Et innførselsforbud mellom 1. mai og 10.oktober vil gi birøktere i forebyggende sone en kostnad ved å frata de muligheter for å flytte til viktige pollineringsoppdrag og trekkplanter.</w:t>
      </w:r>
    </w:p>
    <w:p>
      <w:pPr>
        <w:pStyle w:val="SvarmulighetKommentar"/>
      </w:pPr>
      <w:r>
        <w:rPr>
          <w:lang w:val="nb-NO"/>
        </w:rPr>
        <w:t>Pollineringsoppdrag i fruktfelt skjer fra siste uke i april og i mai, det er en tilleggsinntekt for birøktere, og en avgjørende innsatsfaktor for plantedyrkere. Dersom birøktere ikke får hentet bifolk hjem fra pollineringsoppdrag før i oktober er det ikke mulig å levere den tjenesten utenfor egen sone, så innlemming av de nye kommunene i forebyggende sone vil gi fruktdyrkermiljøene utenfor sonen redusert tilgang til honningbier til pollinering.</w:t>
      </w:r>
    </w:p>
    <w:p>
      <w:pPr>
        <w:pStyle w:val="SvarmulighetKommentar"/>
      </w:pPr>
      <w:r>
        <w:rPr>
          <w:lang w:val="nb-NO"/>
        </w:rPr>
        <w:t>Lyngvandring skjer normalt i perioden 15. juli – august. Et innførselsforbud fram til 10. oktober medfører at birøktere i den foreslåtte forebyggende sone mister muligheten til å benytte seg av viktige lyngområder som ligger utenfor sona. Når lyngtrekket er ferdig i august er birøktere avhengig av å få biene hjem for å starte innfôring første uke i september. Det er for seint å gjøre den jobben etter 10.oktober. Når man samtidig vet at vertsplantene for pærebrann i hovedsak trives kystnært, og at det i lyngtrekket innenlands er svært lite annet som blomstrer samtidig med lyngen, virker sonene og tilhørende datoer unødvendig inngripende for birøkten.</w:t>
      </w:r>
    </w:p>
    <w:p>
      <w:pPr>
        <w:pStyle w:val="SvarmulighetKommentar"/>
      </w:pPr>
      <w:r>
        <w:rPr>
          <w:lang w:val="nb-NO"/>
        </w:rPr>
        <w:t>I høringsutkastet hevdes det næringen kan løse utfordringen med å flytte bifolk på pollineringsoppdrag etter 1. mai ved innesperring i 48 timer og kjølelagring av bifolkene. Tilbakemeldinger fra næringsutøverne er at de ikke har tilgang på kjølelager. Mangel på kjølelager vil også umuliggjøre denne løsningen for lyngvandring på sommerstid dersom det skal vandres ut av pærebrannsonen eller inn i den forebyggende sonen.  </w:t>
      </w:r>
    </w:p>
    <w:p>
      <w:pPr>
        <w:pStyle w:val="SvarmulighetKommentar"/>
      </w:pPr>
      <w:r>
        <w:rPr>
          <w:lang w:val="nb-NO"/>
        </w:rPr>
        <w:t>I høringsutkastet blir også muligheten for å søke tillatelse for flytting dersom det ikke representerer fare for spredning av pærebrann. En søknad om dipensasjon vil medføre usikkerhet for birøkter og vil holde birøktere tilbake for å ta på seg pollineringsoppdrag eller vandre på trekk. Vi vil imidlertid uttrykke vår bekymring for regional behandling av slike søknader, idet disse søknadene opplagt vil komme til regionkontor foreløpig med liten kompetanse på pærebrann.</w:t>
      </w:r>
    </w:p>
    <w:p>
      <w:pPr>
        <w:pStyle w:val="SvarmulighetKommentar"/>
      </w:pPr>
      <w:r>
        <w:rPr>
          <w:lang w:val="nb-NO"/>
        </w:rPr>
        <w:t>Punkt 4: Ingen kommentar</w:t>
      </w:r>
    </w:p>
    <w:p>
      <w:pPr>
        <w:pStyle w:val="SvarmulighetKommentar"/>
      </w:pPr>
      <w:r>
        <w:rPr>
          <w:lang w:val="nb-NO"/>
          <w:b/>
        </w:rPr>
        <w:t>Konklusjon:</w:t>
      </w:r>
    </w:p>
    <w:p>
      <w:pPr>
        <w:pStyle w:val="SvarmulighetKommentar"/>
      </w:pPr>
      <w:r>
        <w:rPr>
          <w:lang w:val="nb-NO"/>
        </w:rPr>
        <w:t>Norges Birøkterlag mener at opprettelse av ny forebyggende sone er urimelig for birøkternæringen. Næringen pålegges store begrensninger for å beskytte plantedyrkermiljøet når man ikke vet nok om kost-nytteregnskapet omkring tiltakene som settes inn for å forsøke å få kontroll på sykdommen. Norges Birøkterlag mener at konsekvensen av den foreslåtte forskriften må utredes grundig med kost-nytte for de berørte næringene før den iverksettes.</w:t>
      </w:r>
    </w:p>
    <w:p>
      <w:pPr>
        <w:pStyle w:val="SvarmulighetKommentar"/>
      </w:pPr>
      <w:r>
        <w:rPr>
          <w:lang w:val="nb-NO"/>
        </w:rPr>
        <w:t>Vi mener at forskriftsendringen må legges på is inntil Mattilsynet har nytt regelverk for Plantehelse på plass for å sees i sammenheng med den. Endringer kan ikke gjøres gjeldene uten tilstrekkelig tid til omstilling for næringa, og minimum ikke før om to år.</w:t>
      </w:r>
    </w:p>
    <w:p>
      <w:pPr>
        <w:pStyle w:val="SvarmulighetKommentar"/>
      </w:pPr>
      <w:r>
        <w:rPr>
          <w:lang w:val="nb-NO"/>
        </w:rPr>
        <w:t>Dersom forskriften like fullt må gjøres gjeldene vil vi presisere at tidsrommet for flytteforbud må gjelde fra 1.mai til 20.august.</w:t>
      </w:r>
    </w:p>
    <w:p>
      <w:pPr>
        <w:pStyle w:val="SvarmulighetKommentar"/>
      </w:pPr>
      <w:r>
        <w:rPr>
          <w:lang w:val="nb-NO"/>
        </w:rPr>
        <w:t>Dersom mulighet for å søke om dispensasjon for å flytte bifolk må bli løsningen må Mattilsynet garantere svært rask saksbehandlingstid, innen en uke etter mottak av søknaden.</w:t>
      </w:r>
    </w:p>
    <w:p>
      <w:pPr>
        <w:pStyle w:val="Heading1"/>
      </w:pPr>
      <w:r>
        <w:rPr>
          <w:lang w:val="nb-NO"/>
          <w:rStyle w:val="Nummerering"/>
        </w:rPr>
        <w:t>4.</w:t>
      </w:r>
      <w:r>
        <w:t xml:space="preserve"> </w:t>
      </w:r>
      <w:r>
        <w:t>Konsekvensutredning</w:t>
      </w:r>
    </w:p>
    <w:p>
      <w:pPr/>
      <w:r>
        <w:rPr>
          <w:lang w:val="nb-NO"/>
          <w:u w:val="single"/>
        </w:rPr>
        <w:t>Eple- og pæreproduksjon</w:t>
      </w:r>
    </w:p>
    <w:p>
      <w:pPr/>
      <w:r>
        <w:rPr>
          <w:lang w:val="nb-NO"/>
        </w:rPr>
        <w:t>Pærebrannsmitte vil ikke bli bekjempet av det offentlige i de områdene som innlemmes i  pærebrannsonen, og det vil heller ikke lenger være restriksjoner på flytting av bier inn fra  andre smitta områder. Dette vil kunne øke smittepresset mot produksjonen av eple og pære i  disse områdene og medføre økt behov for at produsentene selv treffer forebyggende tiltak,  som å bidra til rydding av bulkemispel som kan utgjøre et viktig smittereservoar, i og rundt eiendommene. Av de berørte kommunene har Hjelmeland og Kvam størst fruktproduksjon,  mens det også er en del produksjon i Suldal og de delene av kommunene Stavanger og  Strand som tilhører dagens bekjempelsessone.  </w:t>
      </w:r>
      <w:r>
        <w:rPr>
          <w:lang w:val="nb-NO"/>
        </w:rPr>
        <w:br/>
      </w:r>
      <w:r>
        <w:rPr>
          <w:lang w:val="nb-NO"/>
        </w:rPr>
        <w:br/>
      </w:r>
      <w:r>
        <w:rPr>
          <w:lang w:val="nb-NO"/>
        </w:rPr>
        <w:t>Justeringene i hva som omfattes av forebyggende sone gjør at en del fruktkommuner faller  utenom det forebyggende arbeidet, mens andre store og risikoutsatte fruktområder i Telemark, Buskerud og Vestfold vil innlemmes. Samlet sett vil en betydelig større del av eple-  og pæreproduksjonen inngå i de forebyggende sonene som følge av denne endringen.  </w:t>
      </w:r>
    </w:p>
    <w:p>
      <w:pPr/>
      <w:r>
        <w:rPr>
          <w:lang w:val="nb-NO"/>
          <w:u w:val="single"/>
        </w:rPr>
        <w:t>Birøkt  </w:t>
      </w:r>
    </w:p>
    <w:p>
      <w:pPr/>
      <w:r>
        <w:rPr>
          <w:lang w:val="nb-NO"/>
        </w:rPr>
        <w:t>Pærebrannforskriften setter begrensninger på flytting av bier ut av soner smitta med  pærebrann i perioden 1. mai til 10. oktober. Begrensningene gjelder også flytting fra områder  i pærebrannsonen til bekjempelsessonen. Forskriftsforslaget innebærer at alle områdene i  dagens bekjempelsessone overføres til pærebrannsonen, og dermed muliggjør flytting innen  et større område.   </w:t>
      </w:r>
    </w:p>
    <w:p>
      <w:pPr/>
      <w:r>
        <w:rPr>
          <w:lang w:val="nb-NO"/>
        </w:rPr>
        <w:t>Forslaget om forbud mot flytting inn i de forebyggende sonene legger nye restriksjoner på  birøkten og flytting med tanke på pollinering i fruktproduksjonen. For flytting av bier som ikke   kan gjøres før 1. mai, har vi lagt til grunn at næringen kan løse dette ved innesperring i 48  timer og kjølelagring av bifolkene. I tillegg vil Mattilsynet, som tidligere, kunne gi tillatelser til   flytting som ikke representerer fare for spredning av pærebrann. </w:t>
      </w:r>
    </w:p>
    <w:p>
      <w:pPr/>
      <w:r>
        <w:rPr>
          <w:lang w:val="nb-NO"/>
          <w:u w:val="single"/>
        </w:rPr>
        <w:t>Administrative konsekvenser</w:t>
      </w:r>
    </w:p>
    <w:p>
      <w:pPr/>
      <w:r>
        <w:rPr>
          <w:lang w:val="nb-NO"/>
        </w:rPr>
        <w:t>Den foreslåtte restriksjonen på all flytting av bier inn i forebyggende sone i perioden 1. mai til  10.oktober kan medføre noe merarbeid for Mattilsynet med å behandle søknader om unntak   for flytteforbudet. Det forventes ikke at dette vil ha noe betydelig omfang </w:t>
      </w:r>
    </w:p>
    <w:p>
      <w:pPr>
        <w:pStyle w:val="Heading1"/>
      </w:pPr>
      <w:r>
        <w:rPr>
          <w:lang w:val="nb-NO"/>
          <w:rStyle w:val="Nummerering"/>
        </w:rPr>
        <w:t>5.</w:t>
      </w:r>
      <w:r>
        <w:t xml:space="preserve"> </w:t>
      </w:r>
      <w:r>
        <w:t>Offentliggjøring av høringssvar</w:t>
      </w:r>
    </w:p>
    <w:p>
      <w:pPr/>
      <w:r>
        <w:rPr>
          <w:lang w:val="nb-NO"/>
        </w:rPr>
        <w:t>Høringsfrist: 23.5.2024</w:t>
      </w:r>
    </w:p>
    <w:p>
      <w:pPr/>
      <w:r>
        <w:rPr>
          <w:lang w:val="nb-NO"/>
        </w:rPr>
        <w:t xml:space="preserve"> Alle høringssvar vil bli offentligjort.</w:t>
      </w:r>
    </w:p>
    <w:p>
      <w:pPr/>
      <w:r>
        <w:br/>
      </w:r>
    </w:p>
    <w:p>
      <w:pPr>
        <w:pStyle w:val="Heading2"/>
      </w:pPr>
      <w:r>
        <w:t>Generell kommentar</w:t>
      </w:r>
    </w:p>
    <w:p>
      <w:pPr>
        <w:pStyle w:val="SvarmulighetKommentar"/>
      </w:pPr>
      <w:r>
        <w:rPr>
          <w:lang w:val="nb-NO"/>
        </w:rPr>
        <w:t>Norges Birøkterlag har mottatt innspill fra næringsutøvere via lokal- og fylkeslag i de berørte regionene. Innspillene fra næringen er sammenfattet og kvalitetssikret av fagpersoner innen birøkt og biologi, og Norges Birøkterlag sitt styre står samlet bak høringsinnspillet.</w:t>
      </w:r>
    </w:p>
    <w:p>
      <w:pPr>
        <w:pStyle w:val="SvarmulighetKommentar"/>
      </w:pPr>
      <w:r>
        <w:rPr>
          <w:lang w:val="nb-NO"/>
        </w:rPr>
        <w:t>Norges Birøkterlag representerer drøye 4000 medlemmer, derav omkring 1000 birøktere med birøkt som helt eller delvis næringsgrunnlag. Usikkerheten rundt utbredelse av pærebrann medfører i forslagene svært inngripende tiltak for birøkternæringen, og Norges Birøkterlag vil nedenfor redegjøre for konsekvenser for næringen, og komme med våre klare innspill til høringen på ny forskrift om kontrollområder for å forebygge, begrense og bekjempe pærebrann.</w:t>
      </w:r>
    </w:p>
    <w:p>
      <w:pPr>
        <w:pStyle w:val="SvarmulighetKommentar"/>
      </w:pPr>
      <w:r>
        <w:rPr>
          <w:lang w:val="nb-NO"/>
        </w:rPr>
        <w:t>Pærebrannforskriften innebærer at det er ulovlig å vandre med honningbier fra utlandet og inn i Norge uten at det kan dokumenteres at området biene kommer fra er fritt for pærebrann eller at bifolkene holdes innesperret i 48 timer før ankomst i Norge. Forskriften gir således en beskyttelse mot vandrebirøkt med innslep av biesykdommer fra utlandet. Det er så langt ikke registrert ønsker om å vandre inn i Norge fra utlandet og ulempene for birøkten knyttet til pærebrannforskriften vurderes av Norges Birøkterlag å utgjøre et større problem enn risikoen for vandrebirøkt inn i Norge slik situasjonen er i dag.</w:t>
      </w:r>
    </w:p>
    <w:p>
      <w:pPr>
        <w:pStyle w:val="SvarmulighetKommentar"/>
      </w:pPr>
      <w:r>
        <w:rPr>
          <w:lang w:val="nb-NO"/>
        </w:rPr>
        <w:t>Det er urimelig overfor birøktnæringen å gjøre en endring i Pærebrannforskriften som skal bli gjeldene umiddelbart, altså i inneværende sesong.</w:t>
      </w:r>
    </w:p>
    <w:p>
      <w:pPr>
        <w:pStyle w:val="SvarmulighetKommentar"/>
      </w:pPr>
      <w:r>
        <w:rPr>
          <w:lang w:val="nb-NO"/>
        </w:rPr>
        <w:t>Birøktere, særlig næringsbirøktere, pålegges uforholdsmessige store tap og begrensninger. Videre oppleves det urimelig for birøkternæringen at Mattilsynets manglende kapasitet til å kartlegge og bekjempe plantesykdommen skal medføre de strengeste tiltak for vår næring. Norges Birøkterlag mener en endring av Pærebrannforskriften:</w:t>
      </w:r>
    </w:p>
    <w:p>
      <w:pPr>
        <w:numPr>
          <w:ilvl w:val="0"/>
          <w:numId w:val="4"/>
        </w:numPr>
        <w:pStyle w:val="SvarmulighetKommentar"/>
      </w:pPr>
      <w:r>
        <w:rPr>
          <w:lang w:val="nb-NO"/>
        </w:rPr>
        <w:t>Begrenser muligheter for å flytte bifolk til gode viktige trekkområder, spesifikt seinsommerens lyngvandring til f.eks. Telemark, men også viktige vårtrekk.</w:t>
      </w:r>
    </w:p>
    <w:p>
      <w:pPr>
        <w:numPr>
          <w:ilvl w:val="0"/>
          <w:numId w:val="4"/>
        </w:numPr>
        <w:pStyle w:val="SvarmulighetKommentar"/>
      </w:pPr>
      <w:r>
        <w:rPr>
          <w:lang w:val="nb-NO"/>
        </w:rPr>
        <w:t>Begrenser muligheter for å utføre pollineringsoppdrag</w:t>
      </w:r>
    </w:p>
    <w:p>
      <w:pPr>
        <w:numPr>
          <w:ilvl w:val="0"/>
          <w:numId w:val="4"/>
        </w:numPr>
        <w:pStyle w:val="SvarmulighetKommentar"/>
      </w:pPr>
      <w:r>
        <w:rPr>
          <w:lang w:val="nb-NO"/>
        </w:rPr>
        <w:t>Betinger mer dokumentasjon og kost-nyttebetraktninger rundt sykdommen og skadebildet. En revidering bør sees i sammenheng med revidering av plantehelseforskrift</w:t>
      </w:r>
    </w:p>
    <w:p>
      <w:pPr>
        <w:numPr>
          <w:ilvl w:val="0"/>
          <w:numId w:val="4"/>
        </w:numPr>
        <w:pStyle w:val="SvarmulighetKommentar"/>
      </w:pPr>
      <w:r>
        <w:rPr>
          <w:lang w:val="nb-NO"/>
        </w:rPr>
        <w:t>Vil gi betydelige virkninger for stadig flere birøktere. Norges Birøkterlag ønsker å problematisere innlemming av stadig nye områder i sonene. Sykdommen har hatt en rask og omfattende spredning, til tross for strenge restriksjoner for birøkten. Man har lite grunnlag for å si at en utvidelse restriksjonsbelagte områder vil ha noen virkning.</w:t>
      </w:r>
    </w:p>
    <w:p>
      <w:pPr>
        <w:numPr>
          <w:ilvl w:val="0"/>
          <w:numId w:val="4"/>
        </w:numPr>
        <w:pStyle w:val="SvarmulighetKommentar"/>
      </w:pPr>
      <w:r>
        <w:rPr>
          <w:lang w:val="nb-NO"/>
        </w:rPr>
        <w:t>Om revidering må skje krever Norges Birøkterlag å endre datoen fra 10.oktober til 20.august. Det er en realistisk dato for å kunne opprettholde det avgjørende lyngtrekket og med det grunnlaget for å drive næringsmessig og dyreetisk god birøkt.</w:t>
      </w:r>
    </w:p>
    <w:p>
      <w:pPr/>
      <w:r>
        <w:br/>
      </w:r>
      <w:r>
        <w:br/>
      </w:r>
      <w:r>
        <w:br/>
      </w:r>
      <w:r>
        <w:br/>
      </w:r>
      <w:r>
        <w:t>Med hilsen</w:t>
      </w:r>
      <w:r>
        <w:br/>
      </w:r>
      <w:r>
        <w:br/>
      </w:r>
    </w:p>
    <w:tbl>
      <w:tblPr>
        <w:tblW w:w="5000" w:type="auto"/>
        <w:tblLook w:val="04A0"/>
        <w:tblLayout w:type="fixed"/>
      </w:tblPr>
      <w:tblGrid>
        <w:gridCol w:w="5200"/>
        <w:gridCol w:w="5200"/>
      </w:tblGrid>
      <w:tr>
        <w:tc>
          <w:tcPr>
            <w:tcW w:w="5200" w:type="dxa"/>
          </w:tcPr>
          <w:p>
            <w:pPr/>
            <w:r>
              <w:t>Line Ruden</w:t>
            </w:r>
            <w:r>
              <w:br/>
            </w:r>
            <w:r>
              <w:t>seksjonssjef</w:t>
            </w:r>
          </w:p>
        </w:tc>
        <w:tc>
          <w:tcPr>
            <w:tcW w:w="5200" w:type="dxa"/>
          </w:tcPr>
          <w:p>
            <w:pPr/>
            <w:r>
              <w:br/>
            </w:r>
          </w:p>
        </w:tc>
      </w:tr>
    </w:tbl>
    <w:p>
      <w:pPr/>
      <w:r>
        <w:br/>
      </w:r>
      <w:r>
        <w:t>Dokumentet er elektronisk godkjent</w:t>
      </w:r>
    </w:p>
    <w:sectPr w:rsidRPr="00A32671" w:rsidR="00337315" w:rsidSect="0044014C">
      <w:pgSz w:w="11906" w:h="16838"/>
      <w:pgMar w:top="1134" w:right="737" w:bottom="1440" w:left="794" w:header="708" w:footer="708" w:gutter="0"/>
      <w:cols w:space="708"/>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A06" w:rsidRDefault="00EE2A06" w:rsidP="007F45DC">
      <w:r>
        <w:separator/>
      </w:r>
    </w:p>
  </w:endnote>
  <w:endnote w:type="continuationSeparator" w:id="0">
    <w:p w:rsidR="00EE2A06" w:rsidRDefault="00EE2A06" w:rsidP="007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A06" w:rsidRDefault="00EE2A06" w:rsidP="007F45DC">
      <w:r>
        <w:separator/>
      </w:r>
    </w:p>
  </w:footnote>
  <w:footnote w:type="continuationSeparator" w:id="0">
    <w:p w:rsidR="00EE2A06" w:rsidRDefault="00EE2A06" w:rsidP="007F4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cumentProtection w:edit="readOnly" w:enforcement="1"/>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Heading1">
    <w:name w:val="heading 1"/>
    <w:basedOn w:val="Normal"/>
    <w:next w:val="Normal"/>
    <w:link w:val="Heading1Char"/>
    <w:uiPriority w:val="9"/>
    <w:qFormat/>
    <w:rsid w:val="00E352D6"/>
    <w:pPr>
      <w:keepNext/>
      <w:keepLines/>
      <w:pBdr>
        <w:bottom w:val="single" w:sz="8" w:space="1" w:color="3F3F3F"/>
      </w:pBdr>
      <w:spacing w:before="360" w:after="180" w:line="240" w:lineRule="auto"/>
      <w:outlineLvl w:val="0"/>
    </w:pPr>
    <w:rPr>
      <w:rFonts w:eastAsiaTheme="majorEastAsia" w:cstheme="majorBidi"/>
      <w:b/>
      <w:bCs/>
      <w:caps/>
      <w:color w:val="111111"/>
      <w:sz w:val="26"/>
      <w:szCs w:val="28"/>
    </w:rPr>
  </w:style>
  <w:style w:type="paragraph" w:styleId="Heading2">
    <w:name w:val="heading 2"/>
    <w:basedOn w:val="Normal"/>
    <w:next w:val="Normal"/>
    <w:link w:val="Heading2Char"/>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Heading3">
    <w:name w:val="heading 3"/>
    <w:basedOn w:val="Normal"/>
    <w:next w:val="Normal"/>
    <w:link w:val="Heading3Char"/>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Heading4">
    <w:name w:val="heading 4"/>
    <w:basedOn w:val="Normal"/>
    <w:next w:val="Normal"/>
    <w:link w:val="Heading4Char"/>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Heading5">
    <w:name w:val="heading 5"/>
    <w:basedOn w:val="Normal"/>
    <w:next w:val="Normal"/>
    <w:link w:val="Heading5Char"/>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Heading6">
    <w:name w:val="heading 6"/>
    <w:basedOn w:val="Normal"/>
    <w:next w:val="Normal"/>
    <w:link w:val="Heading6Char"/>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2D6"/>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leChar">
    <w:name w:val="Title Char"/>
    <w:basedOn w:val="DefaultParagraphFont"/>
    <w:link w:val="Title"/>
    <w:uiPriority w:val="10"/>
    <w:rsid w:val="00E352D6"/>
    <w:rPr>
      <w:rFonts w:ascii="Verdana" w:eastAsiaTheme="majorEastAsia" w:hAnsi="Verdana" w:cstheme="majorBidi"/>
      <w:color w:val="FFFFFF" w:themeColor="background1"/>
      <w:spacing w:val="-10"/>
      <w:kern w:val="28"/>
      <w:sz w:val="44"/>
      <w:szCs w:val="56"/>
      <w:shd w:val="clear" w:color="auto" w:fill="3F3F3F"/>
    </w:rPr>
  </w:style>
  <w:style w:type="character" w:customStyle="1" w:styleId="Heading1Char">
    <w:name w:val="Heading 1 Char"/>
    <w:basedOn w:val="DefaultParagraphFont"/>
    <w:link w:val="Heading1"/>
    <w:uiPriority w:val="9"/>
    <w:rsid w:val="00E352D6"/>
    <w:rPr>
      <w:rFonts w:ascii="Verdana" w:eastAsiaTheme="majorEastAsia" w:hAnsi="Verdana" w:cstheme="majorBidi"/>
      <w:b/>
      <w:bCs/>
      <w:caps/>
      <w:color w:val="111111"/>
      <w:sz w:val="26"/>
      <w:szCs w:val="28"/>
    </w:rPr>
  </w:style>
  <w:style w:type="character" w:customStyle="1" w:styleId="Heading2Char">
    <w:name w:val="Heading 2 Char"/>
    <w:basedOn w:val="DefaultParagraphFont"/>
    <w:link w:val="Heading2"/>
    <w:uiPriority w:val="9"/>
    <w:rsid w:val="00337315"/>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NoSpacing">
    <w:name w:val="No Spacing"/>
    <w:uiPriority w:val="1"/>
    <w:qFormat/>
    <w:rsid w:val="00F320DC"/>
    <w:rPr>
      <w:rFonts w:ascii="Arial" w:hAnsi="Arial"/>
      <w:sz w:val="20"/>
    </w:rPr>
  </w:style>
  <w:style w:type="table" w:styleId="LightList">
    <w:name w:val="Light List"/>
    <w:basedOn w:val="TableNorma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852C17"/>
    <w:pPr>
      <w:keepNext/>
      <w:pBdr>
        <w:top w:val="single" w:sz="8" w:space="9" w:color="3F3F3F"/>
        <w:left w:val="single" w:sz="8" w:space="10" w:color="999999"/>
        <w:bottom w:val="single" w:sz="8" w:space="6" w:color="999999"/>
        <w:right w:val="single" w:sz="8" w:space="10" w:color="999999"/>
      </w:pBdr>
      <w:shd w:val="clear" w:color="auto" w:fill="999999"/>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852C17"/>
    <w:pPr>
      <w:keepNext/>
      <w:pBdr>
        <w:left w:val="single" w:sz="8" w:space="31" w:color="999999"/>
        <w:bottom w:val="single" w:sz="8" w:space="1" w:color="999999"/>
        <w:right w:val="single" w:sz="8" w:space="31" w:color="999999"/>
      </w:pBdr>
      <w:shd w:val="clear" w:color="auto" w:fill="999999"/>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Header">
    <w:name w:val="header"/>
    <w:basedOn w:val="Normal"/>
    <w:link w:val="HeaderChar"/>
    <w:uiPriority w:val="99"/>
    <w:unhideWhenUsed/>
    <w:rsid w:val="00B601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0117"/>
    <w:rPr>
      <w:rFonts w:ascii="Arial" w:hAnsi="Arial"/>
      <w:sz w:val="21"/>
    </w:rPr>
  </w:style>
  <w:style w:type="paragraph" w:styleId="Footer">
    <w:name w:val="footer"/>
    <w:basedOn w:val="Normal"/>
    <w:link w:val="FooterChar"/>
    <w:uiPriority w:val="99"/>
    <w:unhideWhenUsed/>
    <w:rsid w:val="00B601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0117"/>
    <w:rPr>
      <w:rFonts w:ascii="Arial" w:hAnsi="Arial"/>
      <w:sz w:val="21"/>
    </w:rPr>
  </w:style>
  <w:style w:type="paragraph" w:customStyle="1" w:styleId="FrGenerelt">
    <w:name w:val="FørGenerelt"/>
    <w:basedOn w:val="Normal"/>
    <w:next w:val="Normal"/>
    <w:qFormat/>
    <w:rsid w:val="00E352D6"/>
    <w:pPr>
      <w:pBdr>
        <w:left w:val="single" w:sz="8" w:space="31" w:color="FFFFFF" w:themeColor="background1"/>
        <w:bottom w:val="single" w:sz="8" w:space="1" w:color="3F3F3F"/>
        <w:right w:val="single" w:sz="8" w:space="31" w:color="FFFFFF" w:themeColor="background1"/>
      </w:pBdr>
      <w:spacing w:before="480" w:after="0"/>
    </w:pPr>
  </w:style>
  <w:style w:type="paragraph" w:customStyle="1" w:styleId="EtterSprsmlBrdTekst">
    <w:name w:val="EtterSpørsmålBrødTekst"/>
    <w:basedOn w:val="SprsmlBrdTekst"/>
    <w:qFormat/>
    <w:rsid w:val="00982BCA"/>
    <w:pPr>
      <w:spacing w:after="0" w:line="20" w:lineRule="exact"/>
    </w:pPr>
  </w:style>
  <w:style w:type="paragraph" w:styleId="DocumentMap">
    <w:name w:val="Document Map"/>
    <w:basedOn w:val="Normal"/>
    <w:link w:val="DocumentMapChar"/>
    <w:uiPriority w:val="99"/>
    <w:semiHidden/>
    <w:unhideWhenUsed/>
    <w:rsid w:val="0038295E"/>
    <w:rPr>
      <w:rFonts w:ascii="Lucida Grande" w:hAnsi="Lucida Grande"/>
      <w:sz w:val="24"/>
      <w:szCs w:val="24"/>
    </w:rPr>
  </w:style>
  <w:style w:type="character" w:customStyle="1" w:styleId="DocumentMapChar">
    <w:name w:val="Document Map Char"/>
    <w:basedOn w:val="DefaultParagraphFont"/>
    <w:link w:val="DocumentMap"/>
    <w:uiPriority w:val="99"/>
    <w:semiHidden/>
    <w:rsid w:val="0038295E"/>
    <w:rPr>
      <w:rFonts w:ascii="Lucida Grande" w:hAnsi="Lucida Grande"/>
      <w:sz w:val="24"/>
      <w:szCs w:val="24"/>
    </w:rPr>
  </w:style>
  <w:style w:type="paragraph" w:styleId="BalloonText">
    <w:name w:val="Balloon Text"/>
    <w:basedOn w:val="Normal"/>
    <w:link w:val="BalloonTextChar"/>
    <w:uiPriority w:val="99"/>
    <w:semiHidden/>
    <w:unhideWhenUsed/>
    <w:rsid w:val="0038295E"/>
    <w:rPr>
      <w:rFonts w:ascii="Lucida Grande" w:hAnsi="Lucida Grande"/>
      <w:sz w:val="18"/>
      <w:szCs w:val="18"/>
    </w:rPr>
  </w:style>
  <w:style w:type="character" w:customStyle="1" w:styleId="BalloonTextChar">
    <w:name w:val="Balloon Text Char"/>
    <w:basedOn w:val="DefaultParagraphFont"/>
    <w:link w:val="BalloonText"/>
    <w:uiPriority w:val="99"/>
    <w:semiHidden/>
    <w:rsid w:val="0038295E"/>
    <w:rPr>
      <w:rFonts w:ascii="Lucida Grande" w:hAnsi="Lucida Grande"/>
      <w:sz w:val="18"/>
      <w:szCs w:val="18"/>
    </w:rPr>
  </w:style>
  <w:style w:type="paragraph" w:styleId="Subtitle">
    <w:name w:val="Subtitle"/>
    <w:basedOn w:val="Normal"/>
    <w:next w:val="Normal"/>
    <w:link w:val="SubtitleChar"/>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SubtitleChar">
    <w:name w:val="Subtitle Char"/>
    <w:basedOn w:val="DefaultParagraphFont"/>
    <w:link w:val="Subtitle"/>
    <w:uiPriority w:val="11"/>
    <w:rsid w:val="000E7ECC"/>
    <w:rPr>
      <w:rFonts w:ascii="Verdana" w:eastAsiaTheme="majorEastAsia" w:hAnsi="Verdana" w:cstheme="majorBidi"/>
      <w:b/>
      <w:iCs/>
      <w:color w:val="8B8678"/>
      <w:spacing w:val="15"/>
      <w:sz w:val="32"/>
      <w:szCs w:val="24"/>
      <w:shd w:val="clear" w:color="auto" w:fill="E8E7E4"/>
    </w:rPr>
  </w:style>
  <w:style w:type="table" w:styleId="ColorfulList-Accent5">
    <w:name w:val="Colorful List Accent 5"/>
    <w:basedOn w:val="TableNorma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Shading-Accent6">
    <w:name w:val="Light Shading Accent 6"/>
    <w:basedOn w:val="TableNorma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F45DC"/>
    <w:pPr>
      <w:ind w:left="720"/>
      <w:contextualSpacing/>
    </w:pPr>
  </w:style>
  <w:style w:type="character" w:styleId="CommentReference">
    <w:name w:val="annotation reference"/>
    <w:basedOn w:val="DefaultParagraphFont"/>
    <w:uiPriority w:val="99"/>
    <w:semiHidden/>
    <w:unhideWhenUsed/>
    <w:rsid w:val="0020483C"/>
    <w:rPr>
      <w:sz w:val="18"/>
      <w:szCs w:val="18"/>
    </w:rPr>
  </w:style>
  <w:style w:type="paragraph" w:styleId="CommentText">
    <w:name w:val="annotation text"/>
    <w:basedOn w:val="Normal"/>
    <w:link w:val="CommentTextChar"/>
    <w:uiPriority w:val="99"/>
    <w:semiHidden/>
    <w:unhideWhenUsed/>
    <w:rsid w:val="0020483C"/>
    <w:rPr>
      <w:sz w:val="24"/>
      <w:szCs w:val="24"/>
    </w:rPr>
  </w:style>
  <w:style w:type="character" w:customStyle="1" w:styleId="CommentTextChar">
    <w:name w:val="Comment Text Char"/>
    <w:basedOn w:val="DefaultParagraphFont"/>
    <w:link w:val="CommentText"/>
    <w:uiPriority w:val="99"/>
    <w:semiHidden/>
    <w:rsid w:val="0020483C"/>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20483C"/>
    <w:rPr>
      <w:b/>
      <w:bCs/>
      <w:sz w:val="20"/>
      <w:szCs w:val="20"/>
    </w:rPr>
  </w:style>
  <w:style w:type="character" w:customStyle="1" w:styleId="CommentSubjectChar">
    <w:name w:val="Comment Subject Char"/>
    <w:basedOn w:val="CommentTextChar"/>
    <w:link w:val="CommentSubject"/>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link">
    <w:name w:val="Hyperlink"/>
    <w:basedOn w:val="DefaultParagraphFon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DefaultParagraphFont"/>
    <w:link w:val="SeksjonTekst"/>
    <w:rsid w:val="005307B5"/>
    <w:rPr>
      <w:rFonts w:ascii="Arial" w:hAnsi="Arial"/>
      <w:color w:val="808080" w:themeColor="background1" w:themeShade="80"/>
      <w:sz w:val="20"/>
    </w:rPr>
  </w:style>
  <w:style w:type="table" w:styleId="LightGrid-Accent5">
    <w:name w:val="Light Grid Accent 5"/>
    <w:basedOn w:val="TableNorma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e2c6896a789c4492" Type="http://schemas.openxmlformats.org/officeDocument/2006/relationships/comments" Target="/word/comments.xml"/><Relationship Id="rId7" Type="http://schemas.openxmlformats.org/officeDocument/2006/relationships/endnotes" Target="endnotes.xml"/><Relationship Id="rId2" Type="http://schemas.openxmlformats.org/officeDocument/2006/relationships/numbering" Target="numbering.xml"/><Relationship Id="R0057b2df064a4366" Type="http://schemas.openxmlformats.org/officeDocument/2006/relationships/image" Target="/word/media/a4af9b7a-ba4d-44c5-9bb8-dd0568376d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03a7a7830fa54881" Type="http://schemas.openxmlformats.org/officeDocument/2006/relationships/image" Target="/word/media/8f8afe7d-2e85-4915-8b43-1989f4d434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2.xml><?xml version="1.0" encoding="utf-8"?>
<ct:contentTypeSchema xmlns:ct="http://schemas.microsoft.com/office/2006/metadata/contentType" xmlns:ma="http://schemas.microsoft.com/office/2006/metadata/properties/metaAttributes" ct:_="" ma:_="" ma:contentTypeName="Dokument" ma:contentTypeID="0x010100408BFDE6D777E245ABB1262F3642B3DB" ma:contentTypeVersion="18" ma:contentTypeDescription="Opprett et nytt dokument." ma:contentTypeScope="" ma:versionID="c63010a30d096085c8622451c8566084">
  <xsd:schema xmlns:xsd="http://www.w3.org/2001/XMLSchema" xmlns:xs="http://www.w3.org/2001/XMLSchema" xmlns:p="http://schemas.microsoft.com/office/2006/metadata/properties" xmlns:ns2="71ae0935-65b8-4d21-b53f-178d7bdbfd0a" xmlns:ns3="ca96e64d-42af-4515-bf4a-2b16f2c7653e" targetNamespace="http://schemas.microsoft.com/office/2006/metadata/properties" ma:root="true" ma:fieldsID="832a4492a6e3f5dad7db9d0d4e19bc07" ns2:_="" ns3:_="">
    <xsd:import namespace="71ae0935-65b8-4d21-b53f-178d7bdbfd0a"/>
    <xsd:import namespace="ca96e64d-42af-4515-bf4a-2b16f2c76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e0935-65b8-4d21-b53f-178d7bdbf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392a748-efae-4d6d-b0fa-5de332bf1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6e64d-42af-4515-bf4a-2b16f2c7653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2ae5dd8-ace7-44d5-a6e0-d18b22ba241a}" ma:internalName="TaxCatchAll" ma:showField="CatchAllData" ma:web="ca96e64d-42af-4515-bf4a-2b16f2c76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B282C-9766-4DAF-8DDA-53B0563146B4}">
  <ds:schemaRefs>
    <ds:schemaRef ds:uri="http://schemas.openxmlformats.org/officeDocument/2006/bibliography"/>
  </ds:schemaRefs>
</ds:datastoreItem>
</file>

<file path=customXml/itemProps2.xml><?xml version="1.0" encoding="utf-8"?>
<ds:datastoreItem xmlns:ds="http://schemas.openxmlformats.org/officeDocument/2006/customXml" ds:itemID="{3AA22C20-442A-4694-AD69-0E5F164636D8}"/>
</file>

<file path=customXml/itemProps3.xml><?xml version="1.0" encoding="utf-8"?>
<ds:datastoreItem xmlns:ds="http://schemas.openxmlformats.org/officeDocument/2006/customXml" ds:itemID="{8B184662-B16D-494B-B560-E661FD8F8B49}"/>
</file>

<file path=docProps/app.xml><?xml version="1.0" encoding="utf-8"?>
<Properties xmlns="http://schemas.openxmlformats.org/officeDocument/2006/extended-properties" xmlns:vt="http://schemas.openxmlformats.org/officeDocument/2006/docPropsVTypes">
  <Template>HøringsUttalelseTemplate2.dotx</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Bekk Consulting AS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Mattilsynet</dc:creator>
  <cp:lastModifiedBy>Ole Auten</cp:lastModifiedBy>
  <cp:revision>1</cp:revision>
  <dcterms:created xsi:type="dcterms:W3CDTF">2024-05-23T08:37:05</dcterms:created>
  <dcterms:modified xsi:type="dcterms:W3CDTF">2024-04-10T15:04:14</dcterms:modified>
</cp:coreProperties>
</file>